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3363FF0F" w14:textId="67D0D253" w:rsidR="006F5FD0" w:rsidRPr="00B33EE6" w:rsidRDefault="00827E83">
      <w:pPr>
        <w:jc w:val="center"/>
        <w:rPr>
          <w:sz w:val="28"/>
          <w:szCs w:val="28"/>
          <w:lang w:val="en-GB"/>
        </w:rPr>
      </w:pPr>
      <w:r>
        <w:rPr>
          <w:b/>
          <w:bCs/>
          <w:sz w:val="28"/>
          <w:szCs w:val="28"/>
          <w:lang w:val="en-GB"/>
        </w:rPr>
        <w:t>Organizing events</w:t>
      </w:r>
      <w:r w:rsidR="006F5FD0" w:rsidRPr="00B33EE6">
        <w:rPr>
          <w:rStyle w:val="Strong"/>
          <w:sz w:val="28"/>
          <w:szCs w:val="28"/>
          <w:lang w:val="en-GB"/>
        </w:rPr>
        <w:br/>
      </w:r>
      <w:r>
        <w:rPr>
          <w:rStyle w:val="Strong"/>
          <w:sz w:val="28"/>
          <w:szCs w:val="28"/>
          <w:lang w:val="en-GB"/>
        </w:rPr>
        <w:t>Timisoara</w:t>
      </w:r>
      <w:r w:rsidR="006F5FD0" w:rsidRPr="00CC621E">
        <w:rPr>
          <w:rStyle w:val="Strong"/>
          <w:sz w:val="28"/>
          <w:szCs w:val="28"/>
          <w:lang w:val="en-GB"/>
        </w:rPr>
        <w:t xml:space="preserve"> </w:t>
      </w:r>
      <w:r w:rsidR="005B22FA" w:rsidRPr="00CC621E">
        <w:rPr>
          <w:rStyle w:val="Strong"/>
          <w:sz w:val="28"/>
          <w:szCs w:val="28"/>
          <w:lang w:val="en-GB"/>
        </w:rPr>
        <w:t>–</w:t>
      </w:r>
      <w:r w:rsidR="006F5FD0" w:rsidRPr="00CC621E">
        <w:rPr>
          <w:rStyle w:val="Strong"/>
          <w:sz w:val="28"/>
          <w:szCs w:val="28"/>
          <w:lang w:val="en-GB"/>
        </w:rPr>
        <w:t xml:space="preserve"> </w:t>
      </w:r>
      <w:r w:rsidR="005B22FA" w:rsidRPr="00CC621E">
        <w:rPr>
          <w:rStyle w:val="Emphasis"/>
          <w:i w:val="0"/>
          <w:sz w:val="28"/>
          <w:szCs w:val="28"/>
          <w:lang w:val="en-GB"/>
        </w:rPr>
        <w:t>Romania</w:t>
      </w:r>
      <w:r w:rsidR="005B22FA">
        <w:rPr>
          <w:rStyle w:val="Emphasis"/>
          <w:i w:val="0"/>
          <w:sz w:val="28"/>
          <w:szCs w:val="28"/>
          <w:lang w:val="en-GB"/>
        </w:rPr>
        <w:t>, Vest Region, Timis county</w:t>
      </w:r>
    </w:p>
    <w:p w14:paraId="1E3CC1C3" w14:textId="77777777" w:rsidR="00571687" w:rsidRPr="00B33EE6" w:rsidRDefault="00571687" w:rsidP="00584BF4">
      <w:pPr>
        <w:ind w:left="709" w:hanging="349"/>
        <w:outlineLvl w:val="0"/>
        <w:rPr>
          <w:rStyle w:val="Strong"/>
          <w:sz w:val="22"/>
          <w:szCs w:val="22"/>
          <w:lang w:val="en-GB"/>
        </w:rPr>
      </w:pP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49D136FE" w14:textId="0D36EA14" w:rsidR="006F5FD0" w:rsidRPr="00B33EE6" w:rsidRDefault="00827E83">
      <w:pPr>
        <w:pStyle w:val="Blockquote"/>
        <w:rPr>
          <w:i/>
          <w:sz w:val="22"/>
          <w:szCs w:val="22"/>
          <w:lang w:val="en-GB"/>
        </w:rPr>
      </w:pPr>
      <w:r w:rsidRPr="00243330">
        <w:rPr>
          <w:szCs w:val="28"/>
        </w:rPr>
        <w:t>162/BASTION/1</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41C9370C" w14:textId="7627C2BE" w:rsidR="006F5FD0" w:rsidRPr="00B33EE6" w:rsidRDefault="00AD1E4D" w:rsidP="005B22FA">
      <w:pPr>
        <w:pStyle w:val="Blockquote"/>
        <w:ind w:left="0" w:firstLine="360"/>
        <w:jc w:val="both"/>
        <w:rPr>
          <w:sz w:val="22"/>
          <w:szCs w:val="22"/>
          <w:lang w:val="en-GB"/>
        </w:rPr>
      </w:pPr>
      <w:r w:rsidRPr="00CC621E">
        <w:rPr>
          <w:sz w:val="22"/>
          <w:szCs w:val="22"/>
          <w:lang w:val="en-GB"/>
        </w:rPr>
        <w:t>Simplified</w:t>
      </w:r>
      <w:r w:rsidR="00584BF4" w:rsidRPr="00B33EE6">
        <w:rPr>
          <w:sz w:val="22"/>
          <w:szCs w:val="22"/>
          <w:lang w:val="en-GB"/>
        </w:rPr>
        <w:t xml:space="preserve"> </w:t>
      </w:r>
    </w:p>
    <w:p w14:paraId="5F51B1AE" w14:textId="77777777"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31825049" w:rsidR="00971962" w:rsidRPr="00B33EE6" w:rsidRDefault="005B22FA" w:rsidP="00B33EE6">
      <w:pPr>
        <w:pStyle w:val="PRAGHeading2"/>
        <w:numPr>
          <w:ilvl w:val="0"/>
          <w:numId w:val="0"/>
        </w:numPr>
        <w:ind w:left="357" w:right="357"/>
        <w:rPr>
          <w:lang w:val="en-GB"/>
        </w:rPr>
      </w:pPr>
      <w:r w:rsidRPr="00C02DD9">
        <w:rPr>
          <w:rStyle w:val="Emphasis"/>
          <w:i w:val="0"/>
          <w:sz w:val="22"/>
          <w:szCs w:val="22"/>
          <w:lang w:val="en-GB"/>
        </w:rPr>
        <w:t>Interreg IPA Romania-Serbia Programme</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0F532635" w14:textId="69476CC7" w:rsidR="00502217" w:rsidRPr="00B33EE6" w:rsidRDefault="005B22FA" w:rsidP="00502217">
      <w:pPr>
        <w:pStyle w:val="Blockquote"/>
        <w:jc w:val="both"/>
        <w:rPr>
          <w:sz w:val="22"/>
          <w:szCs w:val="22"/>
          <w:lang w:val="en-GB"/>
        </w:rPr>
      </w:pPr>
      <w:r w:rsidRPr="00C02DD9">
        <w:rPr>
          <w:rStyle w:val="Emphasis"/>
          <w:i w:val="0"/>
          <w:sz w:val="22"/>
          <w:szCs w:val="22"/>
          <w:lang w:val="en-GB"/>
        </w:rPr>
        <w:t>Financing agreement/Subsidy contract: RORS00</w:t>
      </w:r>
      <w:r w:rsidR="00827E83">
        <w:rPr>
          <w:rStyle w:val="Emphasis"/>
          <w:i w:val="0"/>
          <w:sz w:val="22"/>
          <w:szCs w:val="22"/>
          <w:lang w:val="en-GB"/>
        </w:rPr>
        <w:t>162</w:t>
      </w:r>
      <w:r w:rsidRPr="00C02DD9">
        <w:rPr>
          <w:rStyle w:val="Emphasis"/>
          <w:i w:val="0"/>
          <w:sz w:val="22"/>
          <w:szCs w:val="22"/>
          <w:lang w:val="en-GB"/>
        </w:rPr>
        <w:t>, Budget line: External expertise and services</w:t>
      </w:r>
    </w:p>
    <w:p w14:paraId="03ED8384" w14:textId="77777777" w:rsidR="006F5FD0" w:rsidRDefault="006F5FD0" w:rsidP="00584BF4">
      <w:pPr>
        <w:ind w:left="709" w:hanging="349"/>
        <w:outlineLvl w:val="0"/>
        <w:rPr>
          <w:rStyle w:val="Strong"/>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64CB582E" w14:textId="536F0362" w:rsidR="005B22FA" w:rsidRPr="00B33EE6" w:rsidRDefault="00827E83" w:rsidP="00584BF4">
      <w:pPr>
        <w:ind w:left="709" w:hanging="349"/>
        <w:outlineLvl w:val="0"/>
        <w:rPr>
          <w:sz w:val="22"/>
          <w:szCs w:val="22"/>
          <w:lang w:val="en-GB"/>
        </w:rPr>
      </w:pPr>
      <w:r w:rsidRPr="00827E83">
        <w:rPr>
          <w:sz w:val="22"/>
          <w:szCs w:val="22"/>
          <w:lang w:val="en-GB"/>
        </w:rPr>
        <w:t>Bastion-Varbastya Association</w:t>
      </w:r>
    </w:p>
    <w:p w14:paraId="67F4A905" w14:textId="77777777" w:rsidR="006F5FD0" w:rsidRPr="00B33EE6" w:rsidRDefault="00D72A8F">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2F180757" w:rsidR="006F5FD0" w:rsidRPr="00B33EE6" w:rsidRDefault="006F5FD0">
      <w:pPr>
        <w:pStyle w:val="Blockquote"/>
        <w:jc w:val="both"/>
        <w:rPr>
          <w:i/>
          <w:sz w:val="22"/>
          <w:szCs w:val="22"/>
          <w:lang w:val="en-GB"/>
        </w:rPr>
      </w:pPr>
      <w:r w:rsidRPr="00CC621E">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12CA4C8E" w14:textId="422B1F42" w:rsidR="006F5FD0" w:rsidRPr="005B22FA" w:rsidRDefault="0057011F">
      <w:pPr>
        <w:pStyle w:val="Blockquote"/>
        <w:jc w:val="both"/>
        <w:rPr>
          <w:iCs/>
          <w:sz w:val="22"/>
          <w:szCs w:val="22"/>
          <w:lang w:val="en-GB"/>
        </w:rPr>
      </w:pPr>
      <w:r w:rsidRPr="0057011F">
        <w:rPr>
          <w:iCs/>
          <w:sz w:val="22"/>
          <w:szCs w:val="22"/>
          <w:lang w:val="en-GB"/>
        </w:rPr>
        <w:t xml:space="preserve">The object of the contract is to </w:t>
      </w:r>
      <w:r w:rsidR="00827E83">
        <w:rPr>
          <w:iCs/>
          <w:sz w:val="22"/>
          <w:szCs w:val="22"/>
          <w:lang w:val="en-GB"/>
        </w:rPr>
        <w:t>organize different events in frame of the “</w:t>
      </w:r>
      <w:r w:rsidR="00827E83" w:rsidRPr="00827E83">
        <w:rPr>
          <w:iCs/>
          <w:sz w:val="22"/>
          <w:szCs w:val="22"/>
          <w:lang w:val="en-GB"/>
        </w:rPr>
        <w:t>Sustainable education and training sessions in the field of artistic works</w:t>
      </w:r>
      <w:r w:rsidR="00827E83">
        <w:rPr>
          <w:iCs/>
          <w:sz w:val="22"/>
          <w:szCs w:val="22"/>
          <w:lang w:val="en-GB"/>
        </w:rPr>
        <w:t xml:space="preserve">” RORS00162 project. </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29095621" w14:textId="11F9CC2B" w:rsidR="00DA0ABA" w:rsidRPr="00B33EE6" w:rsidRDefault="00827E83" w:rsidP="00584BF4">
      <w:pPr>
        <w:ind w:left="709" w:hanging="349"/>
        <w:outlineLvl w:val="0"/>
        <w:rPr>
          <w:rStyle w:val="Emphasis"/>
          <w:i w:val="0"/>
          <w:sz w:val="22"/>
          <w:szCs w:val="22"/>
          <w:lang w:val="en-GB"/>
        </w:rPr>
      </w:pPr>
      <w:r>
        <w:rPr>
          <w:rStyle w:val="Emphasis"/>
          <w:i w:val="0"/>
          <w:sz w:val="22"/>
          <w:szCs w:val="22"/>
          <w:lang w:val="en-GB"/>
        </w:rPr>
        <w:t>Not applicable</w:t>
      </w:r>
    </w:p>
    <w:p w14:paraId="6AA792E7" w14:textId="5084CB8E" w:rsidR="00DA0ABA" w:rsidRPr="0057011F" w:rsidRDefault="006F5FD0" w:rsidP="0057011F">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3AEFCB09" w:rsidR="00971962" w:rsidRPr="0057011F" w:rsidRDefault="00827E83" w:rsidP="0057011F">
      <w:pPr>
        <w:pStyle w:val="Blockquote"/>
        <w:jc w:val="both"/>
        <w:rPr>
          <w:sz w:val="22"/>
          <w:szCs w:val="22"/>
          <w:lang w:val="en-GB"/>
        </w:rPr>
      </w:pPr>
      <w:r>
        <w:rPr>
          <w:sz w:val="22"/>
          <w:szCs w:val="22"/>
          <w:lang w:val="en-GB"/>
        </w:rPr>
        <w:t>EUR 28.900</w:t>
      </w:r>
    </w:p>
    <w:p w14:paraId="6C843D95" w14:textId="77777777" w:rsidR="006F5FD0" w:rsidRPr="00B33EE6" w:rsidRDefault="00D72A8F">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6E1BD0">
      <w:pPr>
        <w:pStyle w:val="FootnoteText"/>
        <w:ind w:firstLine="426"/>
        <w:rPr>
          <w:rStyle w:val="Strong"/>
          <w:sz w:val="22"/>
          <w:szCs w:val="22"/>
          <w:lang w:val="en-GB"/>
        </w:rPr>
      </w:pPr>
    </w:p>
    <w:p w14:paraId="3A024C9F" w14:textId="77777777" w:rsidR="00F60619" w:rsidRPr="00912AC6" w:rsidRDefault="00F60619" w:rsidP="00F60619">
      <w:pPr>
        <w:pStyle w:val="paragraph"/>
        <w:spacing w:before="0" w:beforeAutospacing="0" w:after="0" w:afterAutospacing="0"/>
        <w:ind w:left="426"/>
        <w:jc w:val="both"/>
        <w:textAlignment w:val="baseline"/>
        <w:rPr>
          <w:iCs/>
          <w:sz w:val="22"/>
          <w:szCs w:val="22"/>
          <w:lang w:val="en-IE"/>
        </w:rPr>
      </w:pPr>
      <w:r w:rsidRPr="00912AC6">
        <w:rPr>
          <w:iCs/>
          <w:sz w:val="22"/>
          <w:szCs w:val="22"/>
          <w:lang w:val="en-IE"/>
        </w:rPr>
        <w:lastRenderedPageBreak/>
        <w:t>The legal basis of this procedure is Regulation (EU) No [1529] establishing the Instrument for Pre-accession Assistance (IPA III</w:t>
      </w:r>
    </w:p>
    <w:p w14:paraId="59483F0D" w14:textId="77777777" w:rsidR="00F60619" w:rsidRPr="00912AC6" w:rsidRDefault="00F60619" w:rsidP="00F60619">
      <w:pPr>
        <w:pStyle w:val="paragraph"/>
        <w:spacing w:before="0" w:beforeAutospacing="0" w:after="0" w:afterAutospacing="0"/>
        <w:jc w:val="both"/>
        <w:textAlignment w:val="baseline"/>
        <w:rPr>
          <w:rFonts w:ascii="Segoe UI" w:hAnsi="Segoe UI" w:cs="Segoe UI"/>
          <w:sz w:val="22"/>
          <w:szCs w:val="22"/>
          <w:lang w:val="en-US"/>
        </w:rPr>
      </w:pPr>
    </w:p>
    <w:p w14:paraId="43A7AE10" w14:textId="77777777" w:rsidR="00F60619" w:rsidRPr="00CC621E" w:rsidRDefault="00F60619" w:rsidP="00F60619">
      <w:pPr>
        <w:pStyle w:val="paragraph"/>
        <w:spacing w:before="0" w:beforeAutospacing="0" w:after="0" w:afterAutospacing="0"/>
        <w:ind w:left="426"/>
        <w:jc w:val="both"/>
        <w:textAlignment w:val="baseline"/>
        <w:rPr>
          <w:rStyle w:val="eop"/>
          <w:sz w:val="22"/>
          <w:szCs w:val="22"/>
          <w:lang w:val="en-US"/>
        </w:rPr>
      </w:pPr>
      <w:r w:rsidRPr="00912AC6">
        <w:rPr>
          <w:rStyle w:val="normaltextrun"/>
          <w:sz w:val="22"/>
          <w:szCs w:val="22"/>
          <w:lang w:val="en-GB"/>
        </w:rPr>
        <w:t xml:space="preserve">The </w:t>
      </w:r>
      <w:r w:rsidRPr="00CC621E">
        <w:rPr>
          <w:rStyle w:val="normaltextrun"/>
          <w:sz w:val="22"/>
          <w:szCs w:val="22"/>
          <w:lang w:val="en-GB"/>
        </w:rPr>
        <w:t xml:space="preserve">legal basis of this procedure is </w:t>
      </w:r>
      <w:r w:rsidRPr="00CC621E">
        <w:rPr>
          <w:rStyle w:val="normaltextrun"/>
          <w:sz w:val="22"/>
          <w:szCs w:val="22"/>
          <w:shd w:val="clear" w:color="auto" w:fill="C0C0C0"/>
          <w:lang w:val="en-GB"/>
        </w:rPr>
        <w:t>Article 58(2) of Regulation (EU, Euratom) 2018/1046 of the European Parliament and of the Council of 18 July 2018 on the financial rules applicable to the general budget of the Union</w:t>
      </w:r>
      <w:r w:rsidRPr="00CC621E">
        <w:rPr>
          <w:rStyle w:val="eop"/>
          <w:sz w:val="22"/>
          <w:szCs w:val="22"/>
          <w:lang w:val="en-US"/>
        </w:rPr>
        <w:t>.</w:t>
      </w:r>
    </w:p>
    <w:p w14:paraId="12CD7B93" w14:textId="77777777" w:rsidR="00F60619" w:rsidRPr="00CC621E" w:rsidRDefault="00F60619" w:rsidP="00F60619">
      <w:pPr>
        <w:pStyle w:val="paragraph"/>
        <w:spacing w:before="0" w:beforeAutospacing="0" w:after="0" w:afterAutospacing="0"/>
        <w:ind w:left="426"/>
        <w:jc w:val="both"/>
        <w:textAlignment w:val="baseline"/>
        <w:rPr>
          <w:rStyle w:val="normaltextrun"/>
          <w:sz w:val="22"/>
          <w:szCs w:val="22"/>
          <w:shd w:val="clear" w:color="auto" w:fill="FFFF00"/>
          <w:lang w:val="en-GB"/>
        </w:rPr>
      </w:pPr>
    </w:p>
    <w:p w14:paraId="700A6F1F" w14:textId="77777777" w:rsidR="00F60619" w:rsidRPr="00CC621E" w:rsidRDefault="00F60619" w:rsidP="00F60619">
      <w:pPr>
        <w:pStyle w:val="paragraph"/>
        <w:spacing w:before="0" w:beforeAutospacing="0" w:after="0" w:afterAutospacing="0"/>
        <w:ind w:left="426"/>
        <w:jc w:val="both"/>
        <w:textAlignment w:val="baseline"/>
        <w:rPr>
          <w:rStyle w:val="normaltextrun"/>
          <w:sz w:val="22"/>
          <w:szCs w:val="22"/>
          <w:shd w:val="clear" w:color="auto" w:fill="C0C0C0"/>
          <w:lang w:val="en-GB"/>
        </w:rPr>
      </w:pPr>
      <w:r w:rsidRPr="00CC621E">
        <w:rPr>
          <w:rStyle w:val="normaltextrun"/>
          <w:sz w:val="22"/>
          <w:szCs w:val="22"/>
          <w:shd w:val="clear" w:color="auto" w:fill="C0C0C0"/>
          <w:lang w:val="en-GB"/>
        </w:rPr>
        <w:t xml:space="preserve">Participation in this procurement procedure is open on equal terms to all natural and legal persons falling within the scope of the Treaties. </w:t>
      </w:r>
    </w:p>
    <w:p w14:paraId="5B55E55B" w14:textId="77777777" w:rsidR="00F60619" w:rsidRPr="00CC621E" w:rsidRDefault="00F60619" w:rsidP="00F60619">
      <w:pPr>
        <w:pStyle w:val="paragraph"/>
        <w:spacing w:before="0" w:beforeAutospacing="0" w:after="0" w:afterAutospacing="0"/>
        <w:ind w:left="426"/>
        <w:jc w:val="both"/>
        <w:textAlignment w:val="baseline"/>
        <w:rPr>
          <w:rStyle w:val="normaltextrun"/>
          <w:sz w:val="22"/>
          <w:szCs w:val="22"/>
          <w:shd w:val="clear" w:color="auto" w:fill="C0C0C0"/>
          <w:lang w:val="en-GB"/>
        </w:rPr>
      </w:pPr>
    </w:p>
    <w:p w14:paraId="094CBFE2" w14:textId="77777777" w:rsidR="00F60619" w:rsidRPr="00CC621E" w:rsidRDefault="00F60619" w:rsidP="00F60619">
      <w:pPr>
        <w:pStyle w:val="paragraph"/>
        <w:spacing w:before="0" w:beforeAutospacing="0" w:after="0" w:afterAutospacing="0"/>
        <w:ind w:left="426"/>
        <w:jc w:val="both"/>
        <w:textAlignment w:val="baseline"/>
        <w:rPr>
          <w:rStyle w:val="normaltextrun"/>
          <w:sz w:val="22"/>
          <w:szCs w:val="22"/>
          <w:shd w:val="clear" w:color="auto" w:fill="C0C0C0"/>
          <w:lang w:val="en-GB"/>
        </w:rPr>
      </w:pPr>
      <w:r w:rsidRPr="00CC621E">
        <w:rPr>
          <w:rStyle w:val="normaltextrun"/>
          <w:sz w:val="22"/>
          <w:szCs w:val="22"/>
          <w:shd w:val="clear" w:color="auto" w:fill="C0C0C0"/>
          <w:lang w:val="en-GB"/>
        </w:rPr>
        <w:t>Participation is also open to international organisations.</w:t>
      </w:r>
    </w:p>
    <w:p w14:paraId="606A0330" w14:textId="77777777" w:rsidR="00F60619" w:rsidRPr="003846A3" w:rsidRDefault="00F60619" w:rsidP="00F60619">
      <w:pPr>
        <w:pStyle w:val="paragraph"/>
        <w:ind w:left="426"/>
        <w:jc w:val="both"/>
        <w:textAlignment w:val="baseline"/>
        <w:rPr>
          <w:iCs/>
          <w:sz w:val="22"/>
          <w:szCs w:val="22"/>
          <w:lang w:val="en-IE"/>
        </w:rPr>
      </w:pPr>
      <w:r w:rsidRPr="00CC621E">
        <w:rPr>
          <w:b/>
          <w:bCs/>
          <w:iCs/>
          <w:sz w:val="22"/>
          <w:szCs w:val="22"/>
          <w:lang w:val="en-IE"/>
        </w:rPr>
        <w:t>Rule of Nationality:</w:t>
      </w:r>
      <w:r w:rsidRPr="00CC621E">
        <w:rPr>
          <w:iCs/>
          <w:sz w:val="22"/>
          <w:szCs w:val="22"/>
          <w:lang w:val="en-IE"/>
        </w:rPr>
        <w:t xml:space="preserve"> participation is open to all natural</w:t>
      </w:r>
      <w:r w:rsidRPr="003846A3">
        <w:rPr>
          <w:iCs/>
          <w:sz w:val="22"/>
          <w:szCs w:val="22"/>
          <w:lang w:val="en-IE"/>
        </w:rPr>
        <w:t xml:space="preserve">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14:paraId="5E092A38" w14:textId="77777777" w:rsidR="00F60619" w:rsidRPr="003846A3" w:rsidRDefault="00F60619" w:rsidP="00F60619">
      <w:pPr>
        <w:pStyle w:val="paragraph"/>
        <w:ind w:left="426"/>
        <w:jc w:val="both"/>
        <w:textAlignment w:val="baseline"/>
        <w:rPr>
          <w:iCs/>
          <w:sz w:val="22"/>
          <w:szCs w:val="22"/>
          <w:lang w:val="en-IE"/>
        </w:rPr>
      </w:pPr>
      <w:r w:rsidRPr="003846A3">
        <w:rPr>
          <w:iCs/>
          <w:sz w:val="22"/>
          <w:szCs w:val="22"/>
          <w:lang w:val="en-IE"/>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14:paraId="20A581C2"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a) EU Member States</w:t>
      </w:r>
    </w:p>
    <w:p w14:paraId="086FBA09"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b) Beneficiaries listed in the Annex I of the IPA III</w:t>
      </w:r>
    </w:p>
    <w:p w14:paraId="4140947B"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c) European Economic Area</w:t>
      </w:r>
    </w:p>
    <w:p w14:paraId="658D08C6" w14:textId="77777777" w:rsidR="00F60619" w:rsidRPr="003846A3" w:rsidRDefault="00F60619" w:rsidP="00F60619">
      <w:pPr>
        <w:pStyle w:val="paragraph"/>
        <w:ind w:left="426"/>
        <w:rPr>
          <w:iCs/>
          <w:sz w:val="22"/>
          <w:szCs w:val="22"/>
          <w:lang w:val="en-IE"/>
        </w:rPr>
      </w:pPr>
      <w:r w:rsidRPr="003846A3">
        <w:rPr>
          <w:iCs/>
          <w:sz w:val="22"/>
          <w:szCs w:val="22"/>
          <w:lang w:val="en-IE"/>
        </w:rPr>
        <w:t>d) Neighbourhood partner countries and territories covered by NDICI (annexe I of NDICI)</w:t>
      </w:r>
    </w:p>
    <w:p w14:paraId="6E9688D1" w14:textId="77777777" w:rsidR="00F60619" w:rsidRPr="003846A3" w:rsidRDefault="00F60619" w:rsidP="00F60619">
      <w:pPr>
        <w:pStyle w:val="paragraph"/>
        <w:ind w:left="426"/>
        <w:textAlignment w:val="baseline"/>
        <w:rPr>
          <w:iCs/>
          <w:sz w:val="22"/>
          <w:szCs w:val="22"/>
          <w:lang w:val="en-IE"/>
        </w:rPr>
      </w:pPr>
      <w:r w:rsidRPr="003846A3">
        <w:rPr>
          <w:iCs/>
          <w:sz w:val="22"/>
          <w:szCs w:val="22"/>
          <w:lang w:val="en-IE"/>
        </w:rPr>
        <w:t>e) Countries for which the Commission has adopted a decision approving the request for reciprocal access to external assistance. Currently, there are no such countries.</w:t>
      </w:r>
    </w:p>
    <w:p w14:paraId="200BA18E" w14:textId="77777777" w:rsidR="00F60619" w:rsidRPr="003846A3" w:rsidRDefault="00F60619" w:rsidP="00F60619">
      <w:pPr>
        <w:pStyle w:val="paragraph"/>
        <w:ind w:left="426"/>
        <w:jc w:val="both"/>
        <w:textAlignment w:val="baseline"/>
        <w:rPr>
          <w:iCs/>
          <w:sz w:val="22"/>
          <w:szCs w:val="22"/>
          <w:lang w:val="en-IE"/>
        </w:rPr>
      </w:pPr>
      <w:r w:rsidRPr="003846A3">
        <w:rPr>
          <w:iCs/>
          <w:sz w:val="22"/>
          <w:szCs w:val="22"/>
          <w:lang w:val="en-IE"/>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14:paraId="484BDFBA" w14:textId="79418027" w:rsidR="00B9793F" w:rsidRPr="00F72244" w:rsidRDefault="00F60619" w:rsidP="00F60619">
      <w:pPr>
        <w:pStyle w:val="paragraph"/>
        <w:spacing w:before="0" w:beforeAutospacing="0" w:after="0" w:afterAutospacing="0"/>
        <w:ind w:left="426"/>
        <w:jc w:val="both"/>
        <w:textAlignment w:val="baseline"/>
        <w:rPr>
          <w:rStyle w:val="eop"/>
          <w:rFonts w:ascii="Calibri" w:hAnsi="Calibri" w:cs="Calibri"/>
          <w:sz w:val="22"/>
          <w:szCs w:val="22"/>
          <w:lang w:val="en-US"/>
        </w:rPr>
      </w:pPr>
      <w:r w:rsidRPr="003846A3">
        <w:rPr>
          <w:iCs/>
          <w:sz w:val="22"/>
          <w:szCs w:val="22"/>
          <w:lang w:val="en-US"/>
        </w:rPr>
        <w:t xml:space="preserve">Rule of Origin: Goods and materials supplied under a procurement or a grant contract, financed under the INTERREG IPA Romania-Serbia Programme are fully untied and can originate in any country. All supplies and materials are fully untied and no verification of origins </w:t>
      </w:r>
      <w:r w:rsidRPr="00EF6D18">
        <w:rPr>
          <w:iCs/>
          <w:sz w:val="22"/>
          <w:szCs w:val="22"/>
          <w:lang w:val="en-US"/>
        </w:rPr>
        <w:t xml:space="preserve">is </w:t>
      </w:r>
      <w:r w:rsidRPr="003846A3">
        <w:rPr>
          <w:iCs/>
          <w:sz w:val="22"/>
          <w:szCs w:val="22"/>
          <w:lang w:val="en-US"/>
        </w:rPr>
        <w:t>required</w:t>
      </w:r>
      <w:r w:rsidRPr="003846A3">
        <w:rPr>
          <w:iCs/>
          <w:sz w:val="22"/>
          <w:szCs w:val="22"/>
          <w:lang w:val="en-IE"/>
        </w:rPr>
        <w:t>.</w:t>
      </w:r>
    </w:p>
    <w:p w14:paraId="21D2BECF" w14:textId="77777777" w:rsidR="00B9793F" w:rsidRPr="006E1BD0"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012A5F8A" w14:textId="4B44D50B" w:rsidR="004E1482" w:rsidRPr="00CC621E" w:rsidRDefault="00364564" w:rsidP="007727F3">
      <w:pPr>
        <w:pStyle w:val="Blockquote"/>
        <w:jc w:val="both"/>
        <w:rPr>
          <w:sz w:val="22"/>
          <w:szCs w:val="22"/>
          <w:lang w:val="en-GB"/>
        </w:rPr>
      </w:pPr>
      <w:r w:rsidRPr="00CC621E">
        <w:rPr>
          <w:sz w:val="22"/>
          <w:szCs w:val="22"/>
          <w:lang w:val="en-GB"/>
        </w:rPr>
        <w:t>N</w:t>
      </w:r>
      <w:r w:rsidR="00E1782A" w:rsidRPr="00CC621E">
        <w:rPr>
          <w:sz w:val="22"/>
          <w:szCs w:val="22"/>
          <w:lang w:val="en-GB"/>
        </w:rPr>
        <w:t>o restrictions may be made in the number of lots a tenderer can be awarded.</w:t>
      </w:r>
    </w:p>
    <w:p w14:paraId="519FD253" w14:textId="6E9F607E" w:rsidR="00E1782A" w:rsidRPr="00B33EE6" w:rsidRDefault="004E1482" w:rsidP="007727F3">
      <w:pPr>
        <w:pStyle w:val="Blockquote"/>
        <w:jc w:val="both"/>
        <w:rPr>
          <w:i/>
          <w:sz w:val="22"/>
          <w:szCs w:val="22"/>
          <w:lang w:val="en-GB"/>
        </w:rPr>
      </w:pPr>
      <w:r w:rsidRPr="00CC621E">
        <w:rPr>
          <w:sz w:val="22"/>
          <w:szCs w:val="22"/>
          <w:lang w:val="en-GB"/>
        </w:rPr>
        <w:t xml:space="preserve">The </w:t>
      </w:r>
      <w:r w:rsidR="00632BDC" w:rsidRPr="00CC621E">
        <w:rPr>
          <w:sz w:val="22"/>
          <w:szCs w:val="22"/>
          <w:lang w:val="en-GB"/>
        </w:rPr>
        <w:t>tenderer</w:t>
      </w:r>
      <w:r w:rsidRPr="00CC621E">
        <w:rPr>
          <w:sz w:val="22"/>
          <w:szCs w:val="22"/>
          <w:lang w:val="en-GB"/>
        </w:rPr>
        <w:t xml:space="preserve"> may submit a </w:t>
      </w:r>
      <w:r w:rsidR="00632BDC" w:rsidRPr="00CC621E">
        <w:rPr>
          <w:sz w:val="22"/>
          <w:szCs w:val="22"/>
          <w:lang w:val="en-GB"/>
        </w:rPr>
        <w:t>tender</w:t>
      </w:r>
      <w:r w:rsidRPr="00CC621E">
        <w:rPr>
          <w:sz w:val="22"/>
          <w:szCs w:val="22"/>
          <w:lang w:val="en-GB"/>
        </w:rPr>
        <w:t xml:space="preserve"> for one lot only, several lots or all of the lots, but only one </w:t>
      </w:r>
      <w:r w:rsidR="00632BDC" w:rsidRPr="00CC621E">
        <w:rPr>
          <w:sz w:val="22"/>
          <w:szCs w:val="22"/>
          <w:lang w:val="en-GB"/>
        </w:rPr>
        <w:lastRenderedPageBreak/>
        <w:t>tender</w:t>
      </w:r>
      <w:r w:rsidRPr="00CC621E">
        <w:rPr>
          <w:sz w:val="22"/>
          <w:szCs w:val="22"/>
          <w:lang w:val="en-GB"/>
        </w:rPr>
        <w:t xml:space="preserve"> per lot. Contracts will be awarded lot by lot and each lot will form a separate contract.</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D72A8F">
      <w:pPr>
        <w:keepNext/>
        <w:jc w:val="center"/>
        <w:rPr>
          <w:sz w:val="28"/>
          <w:szCs w:val="28"/>
          <w:lang w:val="en-GB"/>
        </w:rPr>
      </w:pPr>
      <w:r>
        <w:rPr>
          <w:snapToGrid/>
          <w:sz w:val="22"/>
          <w:szCs w:val="22"/>
          <w:lang w:val="en-GB"/>
        </w:rPr>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C4EA8E0" w14:textId="6E41EDEF" w:rsidR="006F5FD0" w:rsidRPr="00B33EE6" w:rsidRDefault="00827E83" w:rsidP="00571687">
      <w:pPr>
        <w:pStyle w:val="Blockquote"/>
        <w:jc w:val="both"/>
        <w:rPr>
          <w:i/>
          <w:sz w:val="22"/>
          <w:szCs w:val="22"/>
          <w:lang w:val="en-GB"/>
        </w:rPr>
      </w:pPr>
      <w:r>
        <w:rPr>
          <w:sz w:val="22"/>
          <w:szCs w:val="22"/>
        </w:rPr>
        <w:t>10</w:t>
      </w:r>
      <w:r w:rsidR="00F60619">
        <w:rPr>
          <w:sz w:val="22"/>
          <w:szCs w:val="22"/>
        </w:rPr>
        <w:t>.0</w:t>
      </w:r>
      <w:r w:rsidR="00CC621E">
        <w:rPr>
          <w:sz w:val="22"/>
          <w:szCs w:val="22"/>
        </w:rPr>
        <w:t>4</w:t>
      </w:r>
      <w:r w:rsidR="00F60619">
        <w:rPr>
          <w:sz w:val="22"/>
          <w:szCs w:val="22"/>
        </w:rPr>
        <w:t>.2025</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3D6F4EC4" w14:textId="77253E2A" w:rsidR="00F60619" w:rsidRPr="00B33EE6" w:rsidRDefault="00827E83" w:rsidP="00571687">
      <w:pPr>
        <w:pStyle w:val="Blockquote"/>
        <w:jc w:val="both"/>
        <w:rPr>
          <w:i/>
          <w:sz w:val="22"/>
          <w:szCs w:val="22"/>
          <w:lang w:val="en-GB"/>
        </w:rPr>
      </w:pPr>
      <w:r>
        <w:rPr>
          <w:rStyle w:val="Emphasis"/>
          <w:i w:val="0"/>
          <w:sz w:val="22"/>
          <w:szCs w:val="22"/>
          <w:lang w:val="en-GB"/>
        </w:rPr>
        <w:t>14 months</w:t>
      </w:r>
    </w:p>
    <w:p w14:paraId="29CC7DD8" w14:textId="77777777" w:rsidR="006F5FD0" w:rsidRPr="00B33EE6" w:rsidRDefault="00D72A8F">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6D98B81C" w14:textId="77777777" w:rsidR="00E462F0" w:rsidRDefault="00E462F0">
      <w:pPr>
        <w:pStyle w:val="Blockquote"/>
        <w:jc w:val="both"/>
        <w:rPr>
          <w:sz w:val="22"/>
          <w:szCs w:val="22"/>
          <w:lang w:val="en-GB"/>
        </w:rPr>
      </w:pPr>
    </w:p>
    <w:p w14:paraId="0D716E4E" w14:textId="5D2B9FA7"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w:t>
      </w:r>
      <w:r w:rsidR="006751D2" w:rsidRPr="00B33EE6">
        <w:rPr>
          <w:sz w:val="22"/>
          <w:szCs w:val="22"/>
          <w:lang w:val="en-GB"/>
        </w:rPr>
        <w:lastRenderedPageBreak/>
        <w:t>specified otherwise. The selection criteria will not be applied to natural persons and single-member companies when they are sub-contractors.</w:t>
      </w:r>
    </w:p>
    <w:p w14:paraId="6408820F" w14:textId="12863081" w:rsidR="004916FF" w:rsidRPr="00CC621E" w:rsidRDefault="004916FF" w:rsidP="00CC621E">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4A3BC96C" w14:textId="45D79009" w:rsidR="004916FF" w:rsidRPr="006E1BD0" w:rsidRDefault="004916FF" w:rsidP="00B767F9">
      <w:pPr>
        <w:ind w:firstLine="414"/>
        <w:rPr>
          <w:sz w:val="22"/>
          <w:szCs w:val="22"/>
        </w:rPr>
      </w:pPr>
      <w:r w:rsidRPr="00B767F9">
        <w:rPr>
          <w:sz w:val="22"/>
          <w:szCs w:val="22"/>
        </w:rPr>
        <w:t>The selection criteria for each tenderer are as follows:</w:t>
      </w:r>
    </w:p>
    <w:p w14:paraId="1EE7F885" w14:textId="6FD14595" w:rsidR="007471C5" w:rsidRDefault="00571687" w:rsidP="00E462F0">
      <w:pPr>
        <w:pStyle w:val="Blockquote"/>
        <w:ind w:left="641" w:right="357" w:hanging="284"/>
        <w:jc w:val="both"/>
        <w:rPr>
          <w:sz w:val="22"/>
          <w:szCs w:val="22"/>
          <w:lang w:val="en-GB"/>
        </w:rPr>
      </w:pPr>
      <w:r w:rsidRPr="00B33EE6">
        <w:rPr>
          <w:b/>
          <w:sz w:val="22"/>
          <w:szCs w:val="22"/>
          <w:u w:val="single"/>
          <w:lang w:val="en-GB"/>
        </w:rPr>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19ED5619" w14:textId="3E5AA112" w:rsidR="006A30AC" w:rsidRPr="00CC621E" w:rsidRDefault="006A30AC" w:rsidP="00E462F0">
      <w:pPr>
        <w:pStyle w:val="Blockquote"/>
        <w:ind w:left="641" w:right="357" w:hanging="284"/>
        <w:jc w:val="both"/>
        <w:rPr>
          <w:sz w:val="22"/>
          <w:szCs w:val="22"/>
          <w:lang w:val="en-GB"/>
        </w:rPr>
      </w:pPr>
      <w:r w:rsidRPr="00CC621E">
        <w:rPr>
          <w:sz w:val="22"/>
          <w:szCs w:val="22"/>
          <w:lang w:val="en-GB"/>
        </w:rPr>
        <w:t>Criteria for legal and natural persons:</w:t>
      </w:r>
    </w:p>
    <w:p w14:paraId="5DF71D77" w14:textId="00B2EA4B" w:rsidR="006F5FD0" w:rsidRPr="00CC621E" w:rsidRDefault="006A30AC" w:rsidP="00CC621E">
      <w:pPr>
        <w:pStyle w:val="Blockquote"/>
        <w:jc w:val="both"/>
        <w:rPr>
          <w:sz w:val="22"/>
          <w:szCs w:val="22"/>
          <w:lang w:val="en-GB"/>
        </w:rPr>
      </w:pPr>
      <w:r w:rsidRPr="00CC621E">
        <w:rPr>
          <w:sz w:val="22"/>
          <w:szCs w:val="22"/>
          <w:lang w:val="en-GB"/>
        </w:rPr>
        <w:t>1) T</w:t>
      </w:r>
      <w:r w:rsidR="006F5FD0" w:rsidRPr="00CC621E">
        <w:rPr>
          <w:sz w:val="22"/>
          <w:szCs w:val="22"/>
          <w:lang w:val="en-GB"/>
        </w:rPr>
        <w:t xml:space="preserve">he average annual turnover of the </w:t>
      </w:r>
      <w:r w:rsidR="005639EC" w:rsidRPr="00CC621E">
        <w:rPr>
          <w:sz w:val="22"/>
          <w:szCs w:val="22"/>
          <w:lang w:val="en-GB"/>
        </w:rPr>
        <w:t>tenderer</w:t>
      </w:r>
      <w:r w:rsidR="006F5FD0" w:rsidRPr="00CC621E">
        <w:rPr>
          <w:sz w:val="22"/>
          <w:szCs w:val="22"/>
          <w:lang w:val="en-GB"/>
        </w:rPr>
        <w:t xml:space="preserve"> must exceed  the annualised maximum budget of the contract </w:t>
      </w:r>
      <w:r w:rsidR="00E147D3" w:rsidRPr="00CC621E">
        <w:rPr>
          <w:sz w:val="22"/>
          <w:szCs w:val="22"/>
          <w:lang w:val="en-GB"/>
        </w:rPr>
        <w:t>i.e.</w:t>
      </w:r>
      <w:r w:rsidR="006F5FD0" w:rsidRPr="00CC621E">
        <w:rPr>
          <w:sz w:val="22"/>
          <w:szCs w:val="22"/>
          <w:lang w:val="en-GB"/>
        </w:rPr>
        <w:t xml:space="preserve"> the maximum budget stated in the </w:t>
      </w:r>
      <w:r w:rsidR="005639EC" w:rsidRPr="00CC621E">
        <w:rPr>
          <w:sz w:val="22"/>
          <w:szCs w:val="22"/>
          <w:lang w:val="en-GB"/>
        </w:rPr>
        <w:t>contract</w:t>
      </w:r>
      <w:r w:rsidR="006F5FD0" w:rsidRPr="00CC621E">
        <w:rPr>
          <w:sz w:val="22"/>
          <w:szCs w:val="22"/>
          <w:lang w:val="en-GB"/>
        </w:rPr>
        <w:t xml:space="preserve"> notice divided by the initial contract duration in years, where this exceeds 1 year</w:t>
      </w:r>
      <w:r w:rsidR="006751D2" w:rsidRPr="00CC621E">
        <w:rPr>
          <w:sz w:val="22"/>
          <w:szCs w:val="22"/>
          <w:lang w:val="en-GB"/>
        </w:rPr>
        <w:t xml:space="preserve"> </w:t>
      </w:r>
      <w:r w:rsidR="00AC4530" w:rsidRPr="00CC621E">
        <w:rPr>
          <w:sz w:val="22"/>
          <w:szCs w:val="22"/>
          <w:lang w:val="en-GB"/>
        </w:rPr>
        <w:t>(minimum annual turnover requested may not exceed 2 times the estimated annual contract value, except in duly justified cases motivated in the tender dossier)</w:t>
      </w:r>
      <w:r w:rsidR="006F5FD0" w:rsidRPr="00CC621E">
        <w:rPr>
          <w:sz w:val="22"/>
          <w:szCs w:val="22"/>
          <w:lang w:val="en-GB"/>
        </w:rPr>
        <w:t>; and</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7CC2D488" w14:textId="31D9BB4F" w:rsidR="00BE783C" w:rsidRPr="00CC621E" w:rsidRDefault="006C6CEC" w:rsidP="00CC621E">
      <w:pPr>
        <w:pStyle w:val="Blockquote"/>
        <w:jc w:val="both"/>
        <w:rPr>
          <w:b/>
          <w:sz w:val="22"/>
          <w:szCs w:val="22"/>
          <w:lang w:val="en-GB"/>
        </w:rPr>
      </w:pPr>
      <w:r w:rsidRPr="00CC621E">
        <w:rPr>
          <w:sz w:val="22"/>
          <w:szCs w:val="22"/>
          <w:lang w:val="en-GB"/>
        </w:rPr>
        <w:t>Criteria for legal and natural persons</w:t>
      </w:r>
      <w:r w:rsidR="00BE783C" w:rsidRPr="00CC621E">
        <w:rPr>
          <w:b/>
          <w:sz w:val="22"/>
          <w:szCs w:val="22"/>
          <w:lang w:val="en-GB"/>
        </w:rPr>
        <w:t>:</w:t>
      </w:r>
    </w:p>
    <w:p w14:paraId="59604F6E" w14:textId="42854ADF" w:rsidR="00BE783C" w:rsidRPr="00CC621E" w:rsidRDefault="00596675" w:rsidP="00CC621E">
      <w:pPr>
        <w:pStyle w:val="Blockquote"/>
        <w:numPr>
          <w:ilvl w:val="0"/>
          <w:numId w:val="45"/>
        </w:numPr>
        <w:jc w:val="both"/>
        <w:rPr>
          <w:sz w:val="22"/>
          <w:szCs w:val="22"/>
          <w:lang w:val="en-GB"/>
        </w:rPr>
      </w:pPr>
      <w:r w:rsidRPr="00CC621E">
        <w:rPr>
          <w:sz w:val="22"/>
          <w:szCs w:val="22"/>
          <w:lang w:val="en-GB"/>
        </w:rPr>
        <w:t>H</w:t>
      </w:r>
      <w:r w:rsidR="00BE783C" w:rsidRPr="00CC621E">
        <w:rPr>
          <w:sz w:val="22"/>
          <w:szCs w:val="22"/>
          <w:lang w:val="en-GB"/>
        </w:rPr>
        <w:t>as a professional certificate appropriate to this contract, such as</w:t>
      </w:r>
      <w:r w:rsidR="006A30AC" w:rsidRPr="00CC621E">
        <w:rPr>
          <w:sz w:val="22"/>
          <w:szCs w:val="22"/>
          <w:lang w:val="en-GB"/>
        </w:rPr>
        <w:t xml:space="preserve"> the </w:t>
      </w:r>
      <w:r w:rsidR="006C6CEC" w:rsidRPr="00CC621E">
        <w:rPr>
          <w:sz w:val="22"/>
          <w:szCs w:val="22"/>
          <w:lang w:val="en-GB"/>
        </w:rPr>
        <w:t>activated CAEN or similar code</w:t>
      </w:r>
      <w:r w:rsidRPr="00CC621E">
        <w:rPr>
          <w:sz w:val="22"/>
          <w:szCs w:val="22"/>
          <w:lang w:val="en-GB"/>
        </w:rPr>
        <w:t xml:space="preserve"> for the activities</w:t>
      </w:r>
      <w:r w:rsidR="00BE783C" w:rsidRPr="00CC621E">
        <w:rPr>
          <w:sz w:val="22"/>
          <w:szCs w:val="22"/>
          <w:lang w:val="en-GB"/>
        </w:rPr>
        <w:t>;</w:t>
      </w:r>
    </w:p>
    <w:p w14:paraId="05E75179" w14:textId="7B8F6765" w:rsidR="00BE08EC" w:rsidRPr="00CC621E"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w:t>
      </w:r>
      <w:r w:rsidR="00BE08EC" w:rsidRPr="00CC621E">
        <w:rPr>
          <w:sz w:val="22"/>
          <w:szCs w:val="22"/>
          <w:lang w:val="en-GB"/>
        </w:rPr>
        <w:t>period which will be taken into account will be the last three</w:t>
      </w:r>
      <w:r w:rsidR="00862885" w:rsidRPr="00CC621E">
        <w:rPr>
          <w:sz w:val="22"/>
          <w:szCs w:val="22"/>
          <w:lang w:val="en-GB"/>
        </w:rPr>
        <w:t xml:space="preserve"> years </w:t>
      </w:r>
      <w:r w:rsidR="00771F97" w:rsidRPr="00CC621E">
        <w:rPr>
          <w:sz w:val="22"/>
          <w:szCs w:val="22"/>
          <w:lang w:val="en-GB"/>
        </w:rPr>
        <w:t>preceding the</w:t>
      </w:r>
      <w:r w:rsidR="00BE08EC" w:rsidRPr="00CC621E">
        <w:rPr>
          <w:sz w:val="22"/>
          <w:szCs w:val="22"/>
          <w:lang w:val="en-GB"/>
        </w:rPr>
        <w:t xml:space="preserve"> submission deadline.</w:t>
      </w:r>
    </w:p>
    <w:p w14:paraId="4B690E3C" w14:textId="1FBE310F" w:rsidR="00BE783C" w:rsidRPr="00CC621E" w:rsidRDefault="00596675" w:rsidP="00596675">
      <w:pPr>
        <w:tabs>
          <w:tab w:val="left" w:pos="709"/>
        </w:tabs>
        <w:ind w:left="709" w:hanging="283"/>
        <w:rPr>
          <w:b/>
          <w:sz w:val="22"/>
          <w:szCs w:val="22"/>
          <w:lang w:val="en-GB"/>
        </w:rPr>
      </w:pPr>
      <w:r w:rsidRPr="00CC621E">
        <w:rPr>
          <w:sz w:val="22"/>
          <w:szCs w:val="22"/>
          <w:lang w:val="en-GB"/>
        </w:rPr>
        <w:t>Criteria for legal and natural persons</w:t>
      </w:r>
      <w:r w:rsidRPr="00CC621E">
        <w:rPr>
          <w:b/>
          <w:sz w:val="22"/>
          <w:szCs w:val="22"/>
          <w:lang w:val="en-GB"/>
        </w:rPr>
        <w:t>:</w:t>
      </w:r>
    </w:p>
    <w:p w14:paraId="1853E77F" w14:textId="6DE27B3A" w:rsidR="001661F7" w:rsidRPr="00CC621E" w:rsidRDefault="00596675" w:rsidP="00CC621E">
      <w:pPr>
        <w:pStyle w:val="Blockquote"/>
        <w:numPr>
          <w:ilvl w:val="0"/>
          <w:numId w:val="46"/>
        </w:numPr>
        <w:tabs>
          <w:tab w:val="left" w:pos="709"/>
        </w:tabs>
        <w:jc w:val="both"/>
        <w:rPr>
          <w:sz w:val="22"/>
          <w:szCs w:val="22"/>
          <w:lang w:val="en-GB"/>
        </w:rPr>
      </w:pPr>
      <w:r w:rsidRPr="00CC621E">
        <w:rPr>
          <w:sz w:val="22"/>
          <w:szCs w:val="22"/>
          <w:lang w:val="en-GB"/>
        </w:rPr>
        <w:t>The tenderer has provided services for a total amount of at least the value of the present contract, the amount of which has been accumulated from a maximum of 3 contracts implemented in similar areas (</w:t>
      </w:r>
      <w:r w:rsidR="00827E83">
        <w:rPr>
          <w:sz w:val="22"/>
          <w:szCs w:val="22"/>
          <w:lang w:val="en-GB"/>
        </w:rPr>
        <w:t>organizing events</w:t>
      </w:r>
      <w:r w:rsidRPr="00CC621E">
        <w:rPr>
          <w:sz w:val="22"/>
          <w:szCs w:val="22"/>
          <w:lang w:val="en-GB"/>
        </w:rPr>
        <w:t>) at any time during the last three years</w:t>
      </w:r>
      <w:r w:rsidR="001661F7" w:rsidRPr="00CC621E">
        <w:rPr>
          <w:sz w:val="22"/>
          <w:szCs w:val="22"/>
          <w:lang w:val="en-GB"/>
        </w:rPr>
        <w:t>.</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 xml:space="preserve">uthority shall not be used as reference. This is also applicable concerning the previous </w:t>
      </w:r>
      <w:r w:rsidRPr="00B33EE6">
        <w:rPr>
          <w:sz w:val="22"/>
          <w:szCs w:val="22"/>
          <w:lang w:val="en-GB"/>
        </w:rPr>
        <w:lastRenderedPageBreak/>
        <w:t>experience of experts required under a fee-based service contract.</w:t>
      </w:r>
    </w:p>
    <w:p w14:paraId="3364A443" w14:textId="5B10F972" w:rsidR="007121FB" w:rsidRPr="00B33EE6" w:rsidRDefault="007121FB"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7777777" w:rsidR="006F5FD0" w:rsidRPr="00B33EE6" w:rsidRDefault="00D72A8F">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B7B6C9E"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8" w:anchor="Annexes-AnnexesB(Ch.3):Servicecontracts" w:history="1">
        <w:r w:rsidR="00706ADA" w:rsidRPr="00706ADA">
          <w:rPr>
            <w:rStyle w:val="Hyperlink"/>
            <w:sz w:val="22"/>
            <w:szCs w:val="22"/>
            <w:lang w:val="en-GB"/>
          </w:rPr>
          <w:t>https://wikis.ec.europa.eu/display/ExactExternalWiki/Annexes#Annexes-AnnexesB(Ch.3):Servicecontracts</w:t>
        </w:r>
      </w:hyperlink>
      <w:r w:rsidR="00706ADA">
        <w:rPr>
          <w:sz w:val="22"/>
          <w:szCs w:val="22"/>
          <w:lang w:val="en-GB"/>
        </w:rPr>
        <w:t xml:space="preserve">, </w:t>
      </w:r>
      <w:r w:rsidR="006714ED" w:rsidRPr="00B33EE6">
        <w:rPr>
          <w:sz w:val="22"/>
          <w:szCs w:val="22"/>
          <w:lang w:val="en-GB"/>
        </w:rPr>
        <w:t xml:space="preserve">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114119D4" w:rsidR="004D5EDB" w:rsidRPr="00706ADA" w:rsidRDefault="00323016" w:rsidP="004D5EDB">
      <w:pPr>
        <w:pStyle w:val="Blockquote"/>
        <w:jc w:val="both"/>
        <w:rPr>
          <w:sz w:val="22"/>
          <w:szCs w:val="22"/>
          <w:lang w:val="en-GB"/>
        </w:rPr>
      </w:pPr>
      <w:hyperlink r:id="rId9" w:anchor="Annexes-AnnexesA(Ch.2):General" w:history="1">
        <w:r w:rsidRPr="00C14D56">
          <w:rPr>
            <w:rStyle w:val="Hyperlink"/>
            <w:sz w:val="22"/>
            <w:szCs w:val="22"/>
          </w:rPr>
          <w:t>https://wikis.ec.europa.eu/display/ExactExternalWiki/Annexes#Annexes-AnnexesA(Ch.2):General</w:t>
        </w:r>
      </w:hyperlink>
      <w:r>
        <w:rPr>
          <w:sz w:val="22"/>
          <w:szCs w:val="22"/>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14:paraId="7A5C8404" w14:textId="68D7E486" w:rsidR="00AF412E" w:rsidRDefault="00AF412E" w:rsidP="00BE5F29">
      <w:pPr>
        <w:widowControl/>
        <w:snapToGrid w:val="0"/>
        <w:spacing w:after="0"/>
        <w:ind w:left="360" w:right="360"/>
        <w:jc w:val="both"/>
        <w:rPr>
          <w:lang w:val="en-GB"/>
        </w:rPr>
      </w:pPr>
      <w:r w:rsidRPr="00FA6F9F">
        <w:rPr>
          <w:lang w:val="en-GB"/>
        </w:rPr>
        <w:t xml:space="preserve">Financial </w:t>
      </w:r>
      <w:r w:rsidRPr="00CC621E">
        <w:rPr>
          <w:lang w:val="en-GB"/>
        </w:rPr>
        <w:t>data to be provided by the candidate in the standard application form  must be expressed in EUR. If applicable, where a candidate refers to amounts originally expressed in a different currency, the conversion to EUR shall be made in accordance</w:t>
      </w:r>
      <w:r>
        <w:rPr>
          <w:lang w:val="en-GB"/>
        </w:rPr>
        <w:t xml:space="preserve"> with the InforEuro exchange rate of </w:t>
      </w:r>
      <w:r w:rsidR="00827E83">
        <w:rPr>
          <w:b/>
          <w:bCs/>
          <w:lang w:val="en-GB"/>
        </w:rPr>
        <w:t>MARCH</w:t>
      </w:r>
      <w:r w:rsidRPr="00596675">
        <w:rPr>
          <w:b/>
          <w:lang w:val="en-GB"/>
        </w:rPr>
        <w:t xml:space="preserve"> </w:t>
      </w:r>
      <w:r w:rsidR="00596675" w:rsidRPr="00596675">
        <w:rPr>
          <w:b/>
          <w:lang w:val="en-GB"/>
        </w:rPr>
        <w:t>2025</w:t>
      </w:r>
      <w:r>
        <w:rPr>
          <w:lang w:val="en-GB"/>
        </w:rPr>
        <w:t xml:space="preserve">, which can be found at the following address: </w:t>
      </w:r>
      <w:hyperlink r:id="rId10" w:history="1">
        <w:r w:rsidRPr="00AB6029">
          <w:rPr>
            <w:rStyle w:val="Hyperlink"/>
            <w:lang w:val="en-GB"/>
          </w:rPr>
          <w:t>http://ec.europa.eu/budget/graphs/inforeuro.html</w:t>
        </w:r>
      </w:hyperlink>
      <w:r>
        <w:rPr>
          <w:lang w:val="en-GB"/>
        </w:rPr>
        <w:t>.</w:t>
      </w:r>
    </w:p>
    <w:p w14:paraId="4A4186FD" w14:textId="77777777" w:rsidR="00AF412E" w:rsidRDefault="00AF412E" w:rsidP="00235A71">
      <w:pPr>
        <w:pStyle w:val="Blockquote"/>
        <w:jc w:val="both"/>
        <w:rPr>
          <w:sz w:val="22"/>
          <w:szCs w:val="22"/>
          <w:lang w:val="en-GB"/>
        </w:rPr>
      </w:pPr>
    </w:p>
    <w:sectPr w:rsidR="00AF412E" w:rsidSect="00E147D3">
      <w:headerReference w:type="even" r:id="rId11"/>
      <w:headerReference w:type="default" r:id="rId12"/>
      <w:footerReference w:type="even" r:id="rId13"/>
      <w:footerReference w:type="default" r:id="rId14"/>
      <w:headerReference w:type="first" r:id="rId15"/>
      <w:footerReference w:type="first" r:id="rId16"/>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CC7D1" w14:textId="77777777" w:rsidR="0038795F" w:rsidRDefault="0038795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BA12" w14:textId="7AA88887"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38795F">
      <w:rPr>
        <w:b/>
        <w:sz w:val="20"/>
      </w:rPr>
      <w:t>1</w:t>
    </w:r>
    <w:r w:rsidR="001F6AB7">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sidR="00C14D56">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sidR="00C14D56">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6AC99A" w14:textId="77777777" w:rsidR="0038795F" w:rsidRDefault="003879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C67940" w14:textId="77777777" w:rsidR="0038795F" w:rsidRDefault="003879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82B94" w14:textId="77777777" w:rsidR="0038795F" w:rsidRDefault="0038795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C3EEE1" w14:textId="77777777" w:rsidR="0038795F" w:rsidRDefault="003879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AC14B81"/>
    <w:multiLevelType w:val="hybridMultilevel"/>
    <w:tmpl w:val="AFFE2E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15:restartNumberingAfterBreak="0">
    <w:nsid w:val="0DA64091"/>
    <w:multiLevelType w:val="hybridMultilevel"/>
    <w:tmpl w:val="599C4D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0"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3"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42457133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47464422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620039628">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7382910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203734885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764765065">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1910461448">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865170444">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81321528">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719403238">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137457327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05867349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759718650">
    <w:abstractNumId w:val="17"/>
  </w:num>
  <w:num w:numId="14" w16cid:durableId="1126392788">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943539769">
    <w:abstractNumId w:val="13"/>
  </w:num>
  <w:num w:numId="16" w16cid:durableId="1072243024">
    <w:abstractNumId w:val="15"/>
  </w:num>
  <w:num w:numId="17" w16cid:durableId="972489093">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1741366996">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214585992">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164320999">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167866946">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01547716">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1427576370">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380439830">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411464414">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95635083">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638535586">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615870147">
    <w:abstractNumId w:val="27"/>
  </w:num>
  <w:num w:numId="29" w16cid:durableId="1056512317">
    <w:abstractNumId w:val="27"/>
  </w:num>
  <w:num w:numId="30" w16cid:durableId="1121415881">
    <w:abstractNumId w:val="27"/>
  </w:num>
  <w:num w:numId="31" w16cid:durableId="1159808750">
    <w:abstractNumId w:val="27"/>
  </w:num>
  <w:num w:numId="32" w16cid:durableId="170119740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763962167">
    <w:abstractNumId w:val="37"/>
  </w:num>
  <w:num w:numId="34" w16cid:durableId="331374069">
    <w:abstractNumId w:val="43"/>
  </w:num>
  <w:num w:numId="35" w16cid:durableId="382214145">
    <w:abstractNumId w:val="36"/>
  </w:num>
  <w:num w:numId="36" w16cid:durableId="1573932253">
    <w:abstractNumId w:val="33"/>
  </w:num>
  <w:num w:numId="37" w16cid:durableId="1056047">
    <w:abstractNumId w:val="39"/>
  </w:num>
  <w:num w:numId="38" w16cid:durableId="1422794661">
    <w:abstractNumId w:val="41"/>
  </w:num>
  <w:num w:numId="39" w16cid:durableId="1463035864">
    <w:abstractNumId w:val="45"/>
  </w:num>
  <w:num w:numId="40" w16cid:durableId="2020422521">
    <w:abstractNumId w:val="46"/>
  </w:num>
  <w:num w:numId="41" w16cid:durableId="1852647445">
    <w:abstractNumId w:val="42"/>
  </w:num>
  <w:num w:numId="42" w16cid:durableId="287128243">
    <w:abstractNumId w:val="44"/>
  </w:num>
  <w:num w:numId="43" w16cid:durableId="646978333">
    <w:abstractNumId w:val="40"/>
  </w:num>
  <w:num w:numId="44" w16cid:durableId="677657306">
    <w:abstractNumId w:val="35"/>
  </w:num>
  <w:num w:numId="45" w16cid:durableId="437410525">
    <w:abstractNumId w:val="38"/>
  </w:num>
  <w:num w:numId="46" w16cid:durableId="1274241259">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fr-BE" w:vendorID="64" w:dllVersion="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9932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084A"/>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6AB7"/>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016"/>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0359"/>
    <w:rsid w:val="003C1515"/>
    <w:rsid w:val="003D16FB"/>
    <w:rsid w:val="003D6CAD"/>
    <w:rsid w:val="003E782D"/>
    <w:rsid w:val="00400098"/>
    <w:rsid w:val="0040360C"/>
    <w:rsid w:val="004108A4"/>
    <w:rsid w:val="00424124"/>
    <w:rsid w:val="0043533D"/>
    <w:rsid w:val="00445514"/>
    <w:rsid w:val="00452ED8"/>
    <w:rsid w:val="0045494F"/>
    <w:rsid w:val="004567DF"/>
    <w:rsid w:val="00472630"/>
    <w:rsid w:val="00473883"/>
    <w:rsid w:val="00476D80"/>
    <w:rsid w:val="00480B5C"/>
    <w:rsid w:val="00482E0D"/>
    <w:rsid w:val="004850B4"/>
    <w:rsid w:val="004901C2"/>
    <w:rsid w:val="004916FF"/>
    <w:rsid w:val="004957E5"/>
    <w:rsid w:val="004A205B"/>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011F"/>
    <w:rsid w:val="00571687"/>
    <w:rsid w:val="00572F15"/>
    <w:rsid w:val="00573F7A"/>
    <w:rsid w:val="00582326"/>
    <w:rsid w:val="00584BF4"/>
    <w:rsid w:val="00584D96"/>
    <w:rsid w:val="00590ADB"/>
    <w:rsid w:val="00596675"/>
    <w:rsid w:val="005A21DC"/>
    <w:rsid w:val="005B22FA"/>
    <w:rsid w:val="005B35A2"/>
    <w:rsid w:val="005B4F80"/>
    <w:rsid w:val="005B5E3C"/>
    <w:rsid w:val="005C71EF"/>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0E9D"/>
    <w:rsid w:val="00697F82"/>
    <w:rsid w:val="006A0598"/>
    <w:rsid w:val="006A30AC"/>
    <w:rsid w:val="006A66DA"/>
    <w:rsid w:val="006A7394"/>
    <w:rsid w:val="006B2EDA"/>
    <w:rsid w:val="006B59B9"/>
    <w:rsid w:val="006C0EB6"/>
    <w:rsid w:val="006C0F37"/>
    <w:rsid w:val="006C6CEC"/>
    <w:rsid w:val="006D330F"/>
    <w:rsid w:val="006D6080"/>
    <w:rsid w:val="006E0C6A"/>
    <w:rsid w:val="006E1BD0"/>
    <w:rsid w:val="006E3377"/>
    <w:rsid w:val="006E625F"/>
    <w:rsid w:val="006F5FD0"/>
    <w:rsid w:val="006F7885"/>
    <w:rsid w:val="007046C8"/>
    <w:rsid w:val="00706ADA"/>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C352C"/>
    <w:rsid w:val="007D51F2"/>
    <w:rsid w:val="007D6292"/>
    <w:rsid w:val="007D761E"/>
    <w:rsid w:val="007F095B"/>
    <w:rsid w:val="007F26E3"/>
    <w:rsid w:val="007F5383"/>
    <w:rsid w:val="007F6AA9"/>
    <w:rsid w:val="008006B4"/>
    <w:rsid w:val="00800827"/>
    <w:rsid w:val="0080610B"/>
    <w:rsid w:val="00810582"/>
    <w:rsid w:val="00813A48"/>
    <w:rsid w:val="008152EF"/>
    <w:rsid w:val="008162F6"/>
    <w:rsid w:val="00817895"/>
    <w:rsid w:val="00817B4A"/>
    <w:rsid w:val="008272C0"/>
    <w:rsid w:val="00827E83"/>
    <w:rsid w:val="008323D3"/>
    <w:rsid w:val="008351FF"/>
    <w:rsid w:val="00845F81"/>
    <w:rsid w:val="00862885"/>
    <w:rsid w:val="0087086B"/>
    <w:rsid w:val="008813F6"/>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0994"/>
    <w:rsid w:val="009A38DE"/>
    <w:rsid w:val="009B06B5"/>
    <w:rsid w:val="009B69BE"/>
    <w:rsid w:val="009E5BC1"/>
    <w:rsid w:val="009F0852"/>
    <w:rsid w:val="009F128B"/>
    <w:rsid w:val="009F12A5"/>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058E"/>
    <w:rsid w:val="00A779FE"/>
    <w:rsid w:val="00A77B07"/>
    <w:rsid w:val="00A84E04"/>
    <w:rsid w:val="00A85E8A"/>
    <w:rsid w:val="00A933C7"/>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644B9"/>
    <w:rsid w:val="00B738A7"/>
    <w:rsid w:val="00B7586A"/>
    <w:rsid w:val="00B766F9"/>
    <w:rsid w:val="00B767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595A"/>
    <w:rsid w:val="00BE5F29"/>
    <w:rsid w:val="00BE783C"/>
    <w:rsid w:val="00C00D44"/>
    <w:rsid w:val="00C03AF5"/>
    <w:rsid w:val="00C04FCE"/>
    <w:rsid w:val="00C067C5"/>
    <w:rsid w:val="00C0772E"/>
    <w:rsid w:val="00C147B2"/>
    <w:rsid w:val="00C14D56"/>
    <w:rsid w:val="00C171B6"/>
    <w:rsid w:val="00C2011B"/>
    <w:rsid w:val="00C2062A"/>
    <w:rsid w:val="00C30183"/>
    <w:rsid w:val="00C316FC"/>
    <w:rsid w:val="00C3644F"/>
    <w:rsid w:val="00C36666"/>
    <w:rsid w:val="00C43AAC"/>
    <w:rsid w:val="00C460D8"/>
    <w:rsid w:val="00C61B8C"/>
    <w:rsid w:val="00C712DE"/>
    <w:rsid w:val="00C836E5"/>
    <w:rsid w:val="00C83C65"/>
    <w:rsid w:val="00C840D0"/>
    <w:rsid w:val="00C867B9"/>
    <w:rsid w:val="00CA3B1B"/>
    <w:rsid w:val="00CB23E3"/>
    <w:rsid w:val="00CB759D"/>
    <w:rsid w:val="00CB7AAE"/>
    <w:rsid w:val="00CC0A41"/>
    <w:rsid w:val="00CC3BA0"/>
    <w:rsid w:val="00CC48C9"/>
    <w:rsid w:val="00CC621E"/>
    <w:rsid w:val="00CD026B"/>
    <w:rsid w:val="00CD765A"/>
    <w:rsid w:val="00CE49A1"/>
    <w:rsid w:val="00CF36D7"/>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72A8F"/>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462F0"/>
    <w:rsid w:val="00E5220B"/>
    <w:rsid w:val="00E6172B"/>
    <w:rsid w:val="00E66A55"/>
    <w:rsid w:val="00E713DA"/>
    <w:rsid w:val="00E8043D"/>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5574"/>
    <w:rsid w:val="00F1778E"/>
    <w:rsid w:val="00F17A90"/>
    <w:rsid w:val="00F233FF"/>
    <w:rsid w:val="00F27C45"/>
    <w:rsid w:val="00F33539"/>
    <w:rsid w:val="00F33C45"/>
    <w:rsid w:val="00F46873"/>
    <w:rsid w:val="00F4786D"/>
    <w:rsid w:val="00F504CC"/>
    <w:rsid w:val="00F50E8B"/>
    <w:rsid w:val="00F60220"/>
    <w:rsid w:val="00F60619"/>
    <w:rsid w:val="00F77C8A"/>
    <w:rsid w:val="00F86AAA"/>
    <w:rsid w:val="00F9055E"/>
    <w:rsid w:val="00F91683"/>
    <w:rsid w:val="00FA00C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29"/>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uiPriority w:val="20"/>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9D6B6-DD3E-4ABF-8599-E16526F17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1757</Words>
  <Characters>10021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11755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Kasa Zsolt</cp:lastModifiedBy>
  <cp:revision>47</cp:revision>
  <cp:lastPrinted>2016-05-31T08:36:00Z</cp:lastPrinted>
  <dcterms:created xsi:type="dcterms:W3CDTF">2020-04-15T15:51:00Z</dcterms:created>
  <dcterms:modified xsi:type="dcterms:W3CDTF">2025-03-03T07:43:00Z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ies>
</file>